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0776" w14:textId="77777777" w:rsidR="00937A65" w:rsidRDefault="00937A65"/>
    <w:p w14:paraId="6B2311E6" w14:textId="77777777" w:rsidR="00B95EAE" w:rsidRDefault="00B95EAE"/>
    <w:p w14:paraId="3716646F" w14:textId="77777777" w:rsidR="00B95EAE" w:rsidRDefault="00B95EAE"/>
    <w:p w14:paraId="3AB64021" w14:textId="77777777" w:rsidR="00B95EAE" w:rsidRDefault="00B95EAE"/>
    <w:p w14:paraId="7769005D" w14:textId="77777777" w:rsidR="00B95EAE" w:rsidRDefault="00B95EAE"/>
    <w:p w14:paraId="36AAB3E7" w14:textId="77777777" w:rsidR="00B95EAE" w:rsidRDefault="00B95EAE"/>
    <w:p w14:paraId="06DDC30A" w14:textId="257FB5D1" w:rsidR="00B95EAE" w:rsidRDefault="00B95EAE" w:rsidP="00B95EAE">
      <w:pPr>
        <w:jc w:val="center"/>
      </w:pPr>
      <w:r>
        <w:rPr>
          <w:noProof/>
        </w:rPr>
        <w:drawing>
          <wp:inline distT="0" distB="0" distL="0" distR="0" wp14:anchorId="7974E448" wp14:editId="43C390A7">
            <wp:extent cx="5638800" cy="1108645"/>
            <wp:effectExtent l="0" t="0" r="0" b="0"/>
            <wp:docPr id="1845186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70849" cy="1114946"/>
                    </a:xfrm>
                    <a:prstGeom prst="rect">
                      <a:avLst/>
                    </a:prstGeom>
                    <a:noFill/>
                  </pic:spPr>
                </pic:pic>
              </a:graphicData>
            </a:graphic>
          </wp:inline>
        </w:drawing>
      </w:r>
    </w:p>
    <w:p w14:paraId="2556808B" w14:textId="77777777" w:rsidR="00B95EAE" w:rsidRDefault="00B95EAE"/>
    <w:p w14:paraId="1D12DBFF" w14:textId="77777777" w:rsidR="00B95EAE" w:rsidRDefault="00B95EAE"/>
    <w:p w14:paraId="3124EF8F" w14:textId="751A7C72" w:rsidR="00B95EAE" w:rsidRDefault="00B95EAE" w:rsidP="00B95EAE">
      <w:pPr>
        <w:jc w:val="center"/>
      </w:pPr>
      <w:r>
        <w:t>Pay Transparency Report</w:t>
      </w:r>
      <w:r w:rsidR="009321CB">
        <w:t xml:space="preserve"> </w:t>
      </w:r>
    </w:p>
    <w:p w14:paraId="6FD7F886" w14:textId="4BBC249A" w:rsidR="009321CB" w:rsidRDefault="009321CB" w:rsidP="00B95EAE">
      <w:pPr>
        <w:jc w:val="center"/>
      </w:pPr>
      <w:r>
        <w:t>For the Province of British Columbia</w:t>
      </w:r>
    </w:p>
    <w:p w14:paraId="0566E6F2" w14:textId="5F41A1AF" w:rsidR="00B95EAE" w:rsidRDefault="00B95EAE" w:rsidP="00B95EAE">
      <w:pPr>
        <w:jc w:val="center"/>
      </w:pPr>
      <w:r>
        <w:t>2025</w:t>
      </w:r>
    </w:p>
    <w:p w14:paraId="73E4A743" w14:textId="77777777" w:rsidR="00B95EAE" w:rsidRDefault="00B95EAE">
      <w:r>
        <w:br w:type="page"/>
      </w:r>
    </w:p>
    <w:p w14:paraId="61B45C31" w14:textId="77777777" w:rsidR="00B95EAE" w:rsidRDefault="00B95EAE" w:rsidP="00B95EAE">
      <w:pPr>
        <w:jc w:val="center"/>
      </w:pPr>
    </w:p>
    <w:p w14:paraId="45E25AD4" w14:textId="77777777" w:rsidR="00B95EAE" w:rsidRDefault="00B95EAE" w:rsidP="00B95EAE">
      <w:pPr>
        <w:jc w:val="center"/>
      </w:pPr>
    </w:p>
    <w:p w14:paraId="3A2FDCAC" w14:textId="77777777" w:rsidR="00B95EAE" w:rsidRDefault="00B95EAE" w:rsidP="00B95EAE">
      <w:pPr>
        <w:jc w:val="center"/>
      </w:pPr>
    </w:p>
    <w:p w14:paraId="5BE70913" w14:textId="77777777" w:rsidR="00B95EAE" w:rsidRDefault="00B95EAE" w:rsidP="00B95EAE">
      <w:pPr>
        <w:jc w:val="center"/>
      </w:pPr>
    </w:p>
    <w:tbl>
      <w:tblPr>
        <w:tblStyle w:val="TableGrid"/>
        <w:tblW w:w="0" w:type="auto"/>
        <w:tblLook w:val="04A0" w:firstRow="1" w:lastRow="0" w:firstColumn="1" w:lastColumn="0" w:noHBand="0" w:noVBand="1"/>
      </w:tblPr>
      <w:tblGrid>
        <w:gridCol w:w="2830"/>
        <w:gridCol w:w="6520"/>
      </w:tblGrid>
      <w:tr w:rsidR="00B95EAE" w14:paraId="26875A59" w14:textId="77777777" w:rsidTr="00B95EAE">
        <w:tc>
          <w:tcPr>
            <w:tcW w:w="2830" w:type="dxa"/>
          </w:tcPr>
          <w:p w14:paraId="0B38E0F1" w14:textId="1ADD4FD1" w:rsidR="00B95EAE" w:rsidRDefault="00B95EAE" w:rsidP="00B95EAE">
            <w:r>
              <w:t>Employer:</w:t>
            </w:r>
          </w:p>
        </w:tc>
        <w:tc>
          <w:tcPr>
            <w:tcW w:w="6520" w:type="dxa"/>
          </w:tcPr>
          <w:p w14:paraId="201A2843" w14:textId="1BB7A252" w:rsidR="00B95EAE" w:rsidRDefault="00B95EAE" w:rsidP="00B95EAE">
            <w:r>
              <w:t>Emco Corporation</w:t>
            </w:r>
          </w:p>
        </w:tc>
      </w:tr>
      <w:tr w:rsidR="00B95EAE" w14:paraId="244DB83E" w14:textId="77777777" w:rsidTr="00B95EAE">
        <w:tc>
          <w:tcPr>
            <w:tcW w:w="2830" w:type="dxa"/>
          </w:tcPr>
          <w:p w14:paraId="31A1D12A" w14:textId="44C29095" w:rsidR="00B95EAE" w:rsidRDefault="00B95EAE" w:rsidP="00B95EAE">
            <w:r>
              <w:t>Address:</w:t>
            </w:r>
          </w:p>
        </w:tc>
        <w:tc>
          <w:tcPr>
            <w:tcW w:w="6520" w:type="dxa"/>
          </w:tcPr>
          <w:p w14:paraId="27E20104" w14:textId="39A02F54" w:rsidR="00B95EAE" w:rsidRDefault="00B95EAE" w:rsidP="00B95EAE">
            <w:r>
              <w:t>2124 Oxford St. E., London, Ontario</w:t>
            </w:r>
          </w:p>
        </w:tc>
      </w:tr>
      <w:tr w:rsidR="00B95EAE" w14:paraId="658D53FA" w14:textId="77777777" w:rsidTr="00B95EAE">
        <w:tc>
          <w:tcPr>
            <w:tcW w:w="2830" w:type="dxa"/>
          </w:tcPr>
          <w:p w14:paraId="54A1E86E" w14:textId="30FF4B43" w:rsidR="00B95EAE" w:rsidRDefault="00B95EAE" w:rsidP="00B95EAE">
            <w:r>
              <w:t>Reporting Year:</w:t>
            </w:r>
          </w:p>
        </w:tc>
        <w:tc>
          <w:tcPr>
            <w:tcW w:w="6520" w:type="dxa"/>
          </w:tcPr>
          <w:p w14:paraId="625EAFDB" w14:textId="2324DC55" w:rsidR="00B95EAE" w:rsidRDefault="00B95EAE" w:rsidP="00B95EAE">
            <w:r>
              <w:t>2025</w:t>
            </w:r>
          </w:p>
        </w:tc>
      </w:tr>
      <w:tr w:rsidR="00B95EAE" w14:paraId="169B5E11" w14:textId="77777777" w:rsidTr="00B95EAE">
        <w:tc>
          <w:tcPr>
            <w:tcW w:w="2830" w:type="dxa"/>
          </w:tcPr>
          <w:p w14:paraId="79DB7B7A" w14:textId="339786EE" w:rsidR="00B95EAE" w:rsidRDefault="00B95EAE" w:rsidP="00B95EAE">
            <w:r>
              <w:t>Time Period:</w:t>
            </w:r>
          </w:p>
        </w:tc>
        <w:tc>
          <w:tcPr>
            <w:tcW w:w="6520" w:type="dxa"/>
          </w:tcPr>
          <w:p w14:paraId="741CF978" w14:textId="29E0182C" w:rsidR="00B95EAE" w:rsidRDefault="00B95EAE" w:rsidP="00B95EAE">
            <w:r>
              <w:t xml:space="preserve">January 1, 2024 – </w:t>
            </w:r>
            <w:r w:rsidR="00632D81">
              <w:t>December</w:t>
            </w:r>
            <w:r>
              <w:t xml:space="preserve"> 31, 2024</w:t>
            </w:r>
          </w:p>
        </w:tc>
      </w:tr>
      <w:tr w:rsidR="00B95EAE" w14:paraId="7539E6C8" w14:textId="77777777" w:rsidTr="00B95EAE">
        <w:tc>
          <w:tcPr>
            <w:tcW w:w="2830" w:type="dxa"/>
          </w:tcPr>
          <w:p w14:paraId="61747430" w14:textId="6137312A" w:rsidR="00B95EAE" w:rsidRDefault="00B95EAE" w:rsidP="00B95EAE">
            <w:r>
              <w:t>NAICS Code:</w:t>
            </w:r>
          </w:p>
        </w:tc>
        <w:tc>
          <w:tcPr>
            <w:tcW w:w="6520" w:type="dxa"/>
          </w:tcPr>
          <w:p w14:paraId="4B9A3040" w14:textId="67ADD0FD" w:rsidR="00B95EAE" w:rsidRDefault="00B95EAE" w:rsidP="00B95EAE">
            <w:r>
              <w:t>4</w:t>
            </w:r>
            <w:r w:rsidR="00B4001F">
              <w:t>1</w:t>
            </w:r>
            <w:r>
              <w:t xml:space="preserve"> – Wholesale Trade</w:t>
            </w:r>
          </w:p>
        </w:tc>
      </w:tr>
      <w:tr w:rsidR="00B95EAE" w14:paraId="6CCB2833" w14:textId="77777777" w:rsidTr="00B95EAE">
        <w:tc>
          <w:tcPr>
            <w:tcW w:w="2830" w:type="dxa"/>
          </w:tcPr>
          <w:p w14:paraId="49577733" w14:textId="73E94C36" w:rsidR="00B95EAE" w:rsidRDefault="00B95EAE" w:rsidP="00B95EAE">
            <w:r>
              <w:t>Number of Employees in British Columbia</w:t>
            </w:r>
          </w:p>
        </w:tc>
        <w:tc>
          <w:tcPr>
            <w:tcW w:w="6520" w:type="dxa"/>
          </w:tcPr>
          <w:p w14:paraId="3B84B2C6" w14:textId="4F8E8628" w:rsidR="00B95EAE" w:rsidRDefault="00FF6E74" w:rsidP="00B95EAE">
            <w:r>
              <w:t>Over 300 and u</w:t>
            </w:r>
            <w:r w:rsidR="00B95EAE">
              <w:t>nder 1,000</w:t>
            </w:r>
          </w:p>
        </w:tc>
      </w:tr>
    </w:tbl>
    <w:p w14:paraId="373F8F95" w14:textId="77777777" w:rsidR="00B95EAE" w:rsidRDefault="00B95EAE" w:rsidP="00B95EAE">
      <w:pPr>
        <w:jc w:val="center"/>
      </w:pPr>
    </w:p>
    <w:p w14:paraId="2C70E2F9" w14:textId="01C03936" w:rsidR="00FF6E74" w:rsidRDefault="00FF6E74">
      <w:r>
        <w:br w:type="page"/>
      </w:r>
    </w:p>
    <w:p w14:paraId="2D0D14BB" w14:textId="460B1755" w:rsidR="00312648" w:rsidRPr="00312648" w:rsidRDefault="00312648" w:rsidP="00FF6E74">
      <w:pPr>
        <w:rPr>
          <w:b/>
          <w:bCs/>
        </w:rPr>
      </w:pPr>
      <w:r w:rsidRPr="00312648">
        <w:rPr>
          <w:b/>
          <w:bCs/>
        </w:rPr>
        <w:lastRenderedPageBreak/>
        <w:t>Introduction</w:t>
      </w:r>
    </w:p>
    <w:p w14:paraId="7C55CDF9" w14:textId="000C6DD9" w:rsidR="00312648" w:rsidRDefault="00312648" w:rsidP="000B4D90">
      <w:pPr>
        <w:jc w:val="both"/>
      </w:pPr>
      <w:r>
        <w:t xml:space="preserve">Founded in 1906, Emco Corporation (“Emco”) is one of Canada’s largest integrated distributors of products for the construction industry, offering products in the plumbing, waterworks, industrial, and HVAC sectors.  Emco operates through a network of over 275 </w:t>
      </w:r>
      <w:r w:rsidR="000B4D90">
        <w:t>profit centres</w:t>
      </w:r>
      <w:r>
        <w:t>, distribution warehouses, and showrooms across Canada, each of which is independently managed and uniquely situated to respond to local market needs.</w:t>
      </w:r>
    </w:p>
    <w:p w14:paraId="3850298C" w14:textId="7B28FC13" w:rsidR="000B4D90" w:rsidRPr="00312648" w:rsidRDefault="000B4D90" w:rsidP="000B4D90">
      <w:pPr>
        <w:jc w:val="both"/>
      </w:pPr>
      <w:r>
        <w:t>Emco employs individuals in several roles such as managers, outside sales professionals, inside sales professionals, material handlers, drivers, operations managers, administrative professionals,</w:t>
      </w:r>
      <w:r w:rsidR="002F4EBD">
        <w:t xml:space="preserve"> quotation specialists,</w:t>
      </w:r>
      <w:r>
        <w:t xml:space="preserve"> business development managers, procurement specialists, credit managers and specialists, technicians, project managers, showroom supervisors and consultants</w:t>
      </w:r>
      <w:r w:rsidR="002F4EBD">
        <w:t xml:space="preserve">.   </w:t>
      </w:r>
    </w:p>
    <w:p w14:paraId="77819CFF" w14:textId="69E11E57" w:rsidR="00B4001F" w:rsidRPr="00B4001F" w:rsidRDefault="00B4001F" w:rsidP="00FF6E74">
      <w:pPr>
        <w:rPr>
          <w:b/>
          <w:bCs/>
        </w:rPr>
      </w:pPr>
      <w:r>
        <w:rPr>
          <w:b/>
          <w:bCs/>
        </w:rPr>
        <w:t>Background</w:t>
      </w:r>
    </w:p>
    <w:p w14:paraId="465F7C6C" w14:textId="00EED736" w:rsidR="00FF6E74" w:rsidRDefault="00FF6E74" w:rsidP="00FF282E">
      <w:pPr>
        <w:jc w:val="both"/>
      </w:pPr>
      <w:r>
        <w:t xml:space="preserve">The British Columbia </w:t>
      </w:r>
      <w:r>
        <w:rPr>
          <w:i/>
          <w:iCs/>
        </w:rPr>
        <w:t>Pay Transparency Act</w:t>
      </w:r>
      <w:r>
        <w:t xml:space="preserve"> (the “Act”) requires employers to publish annual reports that include employer information and breakdowns by gender of pay gap calculations.  The report required by the Act is called a Pay Transparency Report.</w:t>
      </w:r>
    </w:p>
    <w:p w14:paraId="6854421D" w14:textId="3FA7A063" w:rsidR="00FF6E74" w:rsidRDefault="00FF6E74" w:rsidP="00FF282E">
      <w:pPr>
        <w:jc w:val="both"/>
      </w:pPr>
      <w:r>
        <w:t>The Pay Transparency Report must show any pay gaps between certain designated groups: individuals who identify as “man”, “woman”, “non-binary” and “</w:t>
      </w:r>
      <w:r w:rsidR="006E0A94">
        <w:t>prefer not to say/</w:t>
      </w:r>
      <w:r>
        <w:t>unknown”.  The “</w:t>
      </w:r>
      <w:r w:rsidR="006E0A94">
        <w:t>prefer not to say/</w:t>
      </w:r>
      <w:r>
        <w:t>unknown” category applies to individuals who do not identify with any of the other three categories, or those who do not wish to specify which gender category applies to them</w:t>
      </w:r>
      <w:r w:rsidR="004044CC">
        <w:t>, or those who did not participate in the survey</w:t>
      </w:r>
      <w:r>
        <w:t xml:space="preserve">.  For categories with fewer than 10 respondents, </w:t>
      </w:r>
      <w:r w:rsidR="00B4001F">
        <w:t xml:space="preserve">no data is presented, </w:t>
      </w:r>
      <w:r>
        <w:t>as required by the Act.</w:t>
      </w:r>
      <w:r w:rsidR="00B4001F">
        <w:t xml:space="preserve">  For this reason, Emco has excluded the “non-binary” category from its Pay Transparency Report because the reporting threshold was not met.</w:t>
      </w:r>
    </w:p>
    <w:p w14:paraId="0C029D2D" w14:textId="535175D2" w:rsidR="00B4001F" w:rsidRDefault="00B4001F" w:rsidP="00FF282E">
      <w:pPr>
        <w:jc w:val="both"/>
      </w:pPr>
      <w:r>
        <w:t xml:space="preserve">Emco requested participation in </w:t>
      </w:r>
      <w:r w:rsidR="00021E8D">
        <w:t>a</w:t>
      </w:r>
      <w:r>
        <w:t xml:space="preserve"> gender self-identification</w:t>
      </w:r>
      <w:r w:rsidR="00021E8D">
        <w:t xml:space="preserve"> survey</w:t>
      </w:r>
      <w:r>
        <w:t xml:space="preserve"> on a voluntary basis as required by the Act.  </w:t>
      </w:r>
      <w:r w:rsidR="006E0A94">
        <w:t xml:space="preserve"> In total, 13.2% of Emco’s teammates</w:t>
      </w:r>
      <w:r w:rsidR="00FF282E">
        <w:t xml:space="preserve"> in British Columbia</w:t>
      </w:r>
      <w:r w:rsidR="006E0A94">
        <w:t xml:space="preserve"> responded, with </w:t>
      </w:r>
      <w:r w:rsidR="00021E8D">
        <w:t>59</w:t>
      </w:r>
      <w:r w:rsidR="006E0A94">
        <w:t xml:space="preserve">% of </w:t>
      </w:r>
      <w:r w:rsidR="00021E8D">
        <w:t>those who responded</w:t>
      </w:r>
      <w:r w:rsidR="006E0A94">
        <w:t xml:space="preserve"> identifying as male, </w:t>
      </w:r>
      <w:r w:rsidR="00021E8D">
        <w:t>and 37</w:t>
      </w:r>
      <w:r w:rsidR="006E0A94">
        <w:t>% of t</w:t>
      </w:r>
      <w:r w:rsidR="00021E8D">
        <w:t>hose who responded</w:t>
      </w:r>
      <w:r w:rsidR="006E0A94">
        <w:t xml:space="preserve"> identifying as female.  The data presented in this report in the “prefer not to say/unknown” group represents the </w:t>
      </w:r>
      <w:r w:rsidR="00FF282E">
        <w:t>86.2% of Emco’s teammates located in British Columbia who did not wish to participate or identify their gender.</w:t>
      </w:r>
    </w:p>
    <w:p w14:paraId="1F2597F5" w14:textId="77777777" w:rsidR="00B4001F" w:rsidRDefault="00B4001F">
      <w:r>
        <w:br w:type="page"/>
      </w:r>
    </w:p>
    <w:p w14:paraId="73A82F79" w14:textId="4CECC74E" w:rsidR="00B4001F" w:rsidRDefault="00B4001F" w:rsidP="00FF6E74">
      <w:pPr>
        <w:rPr>
          <w:b/>
          <w:bCs/>
        </w:rPr>
      </w:pPr>
      <w:r>
        <w:rPr>
          <w:b/>
          <w:bCs/>
        </w:rPr>
        <w:lastRenderedPageBreak/>
        <w:t>Pay Gap Analysis</w:t>
      </w:r>
    </w:p>
    <w:p w14:paraId="0F57F53D" w14:textId="1B035952" w:rsidR="00B4001F" w:rsidRPr="00B4001F" w:rsidRDefault="00B4001F" w:rsidP="00FF6E74">
      <w:r>
        <w:t xml:space="preserve">The following data presents the </w:t>
      </w:r>
      <w:r w:rsidR="00021E8D">
        <w:t>mandatory</w:t>
      </w:r>
      <w:r>
        <w:t xml:space="preserve"> disclosures and methodology as required by the Act.  All terminology used is as required by the Act.  </w:t>
      </w:r>
      <w:r w:rsidR="009321CB">
        <w:t xml:space="preserve">Where the term “men” is used, it is meant “individuals who responded to the survey and identify as male”.  Where the term “woman” is used, it is meant “individuals who responded to the survey and identify as female”.  </w:t>
      </w:r>
    </w:p>
    <w:p w14:paraId="4607C89D" w14:textId="06F39F21" w:rsidR="00B4001F" w:rsidRPr="00F93210" w:rsidRDefault="00732A85" w:rsidP="00FF6E74">
      <w:pPr>
        <w:rPr>
          <w:i/>
          <w:iCs/>
          <w:u w:val="single"/>
        </w:rPr>
      </w:pPr>
      <w:r w:rsidRPr="00F93210">
        <w:rPr>
          <w:i/>
          <w:iCs/>
          <w:u w:val="single"/>
        </w:rPr>
        <w:t xml:space="preserve">Mean and Median </w:t>
      </w:r>
      <w:r w:rsidR="00E5496F" w:rsidRPr="00F93210">
        <w:rPr>
          <w:i/>
          <w:iCs/>
          <w:u w:val="single"/>
        </w:rPr>
        <w:t xml:space="preserve">Hourly </w:t>
      </w:r>
      <w:r w:rsidR="00B4001F" w:rsidRPr="00F93210">
        <w:rPr>
          <w:i/>
          <w:iCs/>
          <w:u w:val="single"/>
        </w:rPr>
        <w:t>Pay</w:t>
      </w:r>
      <w:r w:rsidR="00FF282E" w:rsidRPr="00F93210">
        <w:rPr>
          <w:i/>
          <w:iCs/>
          <w:u w:val="single"/>
        </w:rPr>
        <w:t xml:space="preserve"> Gap</w:t>
      </w:r>
    </w:p>
    <w:p w14:paraId="0D2338A9" w14:textId="2FB200FE" w:rsidR="00F93210" w:rsidRDefault="00F93210" w:rsidP="00765AD7">
      <w:pPr>
        <w:jc w:val="both"/>
      </w:pPr>
      <w:r>
        <w:t>In accordance with the Act, “Mean Hourly Pay Gap” means the difference in pay between gender groups calculated by average pay.  It does not include bonuses and overtime.  “Median Hourly Pay Gap” refers to the difference in pay between gender groups calculated by the mid range of pay for each group.  It does not include bonuses and overtime.</w:t>
      </w:r>
    </w:p>
    <w:p w14:paraId="7E0AE14B" w14:textId="3C05438F" w:rsidR="00732A85" w:rsidRPr="00732A85" w:rsidRDefault="00732A85" w:rsidP="00FF6E74">
      <w:r>
        <w:t>The mean hourly pay gap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25"/>
        <w:gridCol w:w="567"/>
        <w:gridCol w:w="2976"/>
      </w:tblGrid>
      <w:tr w:rsidR="00732A85" w14:paraId="4046E848" w14:textId="77777777" w:rsidTr="00F93B0A">
        <w:tc>
          <w:tcPr>
            <w:tcW w:w="5807" w:type="dxa"/>
            <w:gridSpan w:val="3"/>
            <w:shd w:val="clear" w:color="auto" w:fill="156082" w:themeFill="accent1"/>
          </w:tcPr>
          <w:p w14:paraId="3ECD76AC" w14:textId="38ADEC24" w:rsidR="00732A85" w:rsidRDefault="00732A85" w:rsidP="00732A85">
            <w:pPr>
              <w:jc w:val="right"/>
            </w:pPr>
            <w:bookmarkStart w:id="0" w:name="_Hlk212637534"/>
            <w:r>
              <w:t>$1.00</w:t>
            </w:r>
          </w:p>
        </w:tc>
        <w:tc>
          <w:tcPr>
            <w:tcW w:w="567" w:type="dxa"/>
          </w:tcPr>
          <w:p w14:paraId="099932C8" w14:textId="054B8F84" w:rsidR="00732A85" w:rsidRDefault="00732A85" w:rsidP="00FF6E74"/>
        </w:tc>
        <w:tc>
          <w:tcPr>
            <w:tcW w:w="2976" w:type="dxa"/>
          </w:tcPr>
          <w:p w14:paraId="553DD5FB" w14:textId="4AB84D40" w:rsidR="00732A85" w:rsidRDefault="00732A85" w:rsidP="00FF6E74">
            <w:r>
              <w:t>Men</w:t>
            </w:r>
          </w:p>
        </w:tc>
      </w:tr>
      <w:tr w:rsidR="00732A85" w14:paraId="10F61FDF" w14:textId="77777777" w:rsidTr="00F93B0A">
        <w:tc>
          <w:tcPr>
            <w:tcW w:w="5382" w:type="dxa"/>
            <w:gridSpan w:val="2"/>
            <w:shd w:val="clear" w:color="auto" w:fill="4C94D8" w:themeFill="text2" w:themeFillTint="80"/>
          </w:tcPr>
          <w:p w14:paraId="3BFAF737" w14:textId="2EF6514A" w:rsidR="00732A85" w:rsidRDefault="00732A85" w:rsidP="00732A85">
            <w:pPr>
              <w:jc w:val="right"/>
            </w:pPr>
            <w:r>
              <w:t>$0.86</w:t>
            </w:r>
          </w:p>
        </w:tc>
        <w:tc>
          <w:tcPr>
            <w:tcW w:w="992" w:type="dxa"/>
            <w:gridSpan w:val="2"/>
          </w:tcPr>
          <w:p w14:paraId="7B49F3C9" w14:textId="6B4E7568" w:rsidR="00732A85" w:rsidRDefault="00732A85" w:rsidP="00FF6E74"/>
        </w:tc>
        <w:tc>
          <w:tcPr>
            <w:tcW w:w="2976" w:type="dxa"/>
          </w:tcPr>
          <w:p w14:paraId="5F1A59DB" w14:textId="1E30220D" w:rsidR="00732A85" w:rsidRDefault="00732A85" w:rsidP="00FF6E74">
            <w:r>
              <w:t>Women</w:t>
            </w:r>
          </w:p>
        </w:tc>
      </w:tr>
      <w:tr w:rsidR="00732A85" w14:paraId="609082C1" w14:textId="77777777" w:rsidTr="00F93B0A">
        <w:tc>
          <w:tcPr>
            <w:tcW w:w="5098" w:type="dxa"/>
            <w:shd w:val="clear" w:color="auto" w:fill="60CAF3" w:themeFill="accent4" w:themeFillTint="99"/>
          </w:tcPr>
          <w:p w14:paraId="3B5922F7" w14:textId="285F61A6" w:rsidR="00732A85" w:rsidRDefault="00732A85" w:rsidP="00732A85">
            <w:pPr>
              <w:jc w:val="right"/>
            </w:pPr>
            <w:r>
              <w:t>$0.83</w:t>
            </w:r>
          </w:p>
        </w:tc>
        <w:tc>
          <w:tcPr>
            <w:tcW w:w="1276" w:type="dxa"/>
            <w:gridSpan w:val="3"/>
          </w:tcPr>
          <w:p w14:paraId="4D316469" w14:textId="25EACA21" w:rsidR="00732A85" w:rsidRDefault="00732A85" w:rsidP="00FF6E74"/>
        </w:tc>
        <w:tc>
          <w:tcPr>
            <w:tcW w:w="2976" w:type="dxa"/>
          </w:tcPr>
          <w:p w14:paraId="7AE5E509" w14:textId="38B24BCC" w:rsidR="00732A85" w:rsidRDefault="00732A85" w:rsidP="00FF6E74">
            <w:r>
              <w:t>Prefer not to say/Unknown</w:t>
            </w:r>
          </w:p>
        </w:tc>
      </w:tr>
      <w:bookmarkEnd w:id="0"/>
    </w:tbl>
    <w:p w14:paraId="17BE1607" w14:textId="77777777" w:rsidR="00732A85" w:rsidRDefault="00732A85" w:rsidP="00FF6E74"/>
    <w:p w14:paraId="579BF579" w14:textId="5AE86863" w:rsidR="00F93210" w:rsidRDefault="00F93210" w:rsidP="00765AD7">
      <w:pPr>
        <w:jc w:val="both"/>
      </w:pPr>
      <w:r>
        <w:t xml:space="preserve">At Emco, </w:t>
      </w:r>
      <w:r w:rsidR="009321CB">
        <w:t>women’s</w:t>
      </w:r>
      <w:r>
        <w:t xml:space="preserve"> mean hourly wages are 14% less than </w:t>
      </w:r>
      <w:bookmarkStart w:id="1" w:name="_Hlk212637865"/>
      <w:r>
        <w:t>men</w:t>
      </w:r>
      <w:r w:rsidR="009321CB">
        <w:t>’s</w:t>
      </w:r>
      <w:r>
        <w:t xml:space="preserve">, and individuals who prefer not to say/unknown’s mean hourly wages are 17% less than </w:t>
      </w:r>
      <w:r w:rsidR="009321CB">
        <w:t>men’s</w:t>
      </w:r>
      <w:r>
        <w:t>.</w:t>
      </w:r>
      <w:bookmarkEnd w:id="1"/>
    </w:p>
    <w:p w14:paraId="1B838188" w14:textId="3F873237" w:rsidR="00732A85" w:rsidRDefault="00732A85" w:rsidP="00FF6E74">
      <w:r>
        <w:t>The median hourly pay gap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41"/>
        <w:gridCol w:w="137"/>
        <w:gridCol w:w="567"/>
        <w:gridCol w:w="2976"/>
      </w:tblGrid>
      <w:tr w:rsidR="00732A85" w14:paraId="1DD29622" w14:textId="77777777" w:rsidTr="00F93B0A">
        <w:tc>
          <w:tcPr>
            <w:tcW w:w="5807" w:type="dxa"/>
            <w:gridSpan w:val="3"/>
            <w:shd w:val="clear" w:color="auto" w:fill="156082" w:themeFill="accent1"/>
          </w:tcPr>
          <w:p w14:paraId="6528857E" w14:textId="77777777" w:rsidR="00732A85" w:rsidRDefault="00732A85" w:rsidP="0029423C">
            <w:pPr>
              <w:jc w:val="right"/>
            </w:pPr>
            <w:r>
              <w:t>$1.00</w:t>
            </w:r>
          </w:p>
        </w:tc>
        <w:tc>
          <w:tcPr>
            <w:tcW w:w="567" w:type="dxa"/>
          </w:tcPr>
          <w:p w14:paraId="5E961587" w14:textId="77777777" w:rsidR="00732A85" w:rsidRDefault="00732A85" w:rsidP="0029423C"/>
        </w:tc>
        <w:tc>
          <w:tcPr>
            <w:tcW w:w="2976" w:type="dxa"/>
          </w:tcPr>
          <w:p w14:paraId="3EC4C551" w14:textId="77777777" w:rsidR="00732A85" w:rsidRDefault="00732A85" w:rsidP="0029423C">
            <w:r>
              <w:t>Men</w:t>
            </w:r>
          </w:p>
        </w:tc>
      </w:tr>
      <w:tr w:rsidR="00732A85" w14:paraId="32F025F6" w14:textId="77777777" w:rsidTr="00F93B0A">
        <w:tc>
          <w:tcPr>
            <w:tcW w:w="5670" w:type="dxa"/>
            <w:gridSpan w:val="2"/>
            <w:shd w:val="clear" w:color="auto" w:fill="4C94D8" w:themeFill="text2" w:themeFillTint="80"/>
          </w:tcPr>
          <w:p w14:paraId="32D66ACC" w14:textId="7B5F7D40" w:rsidR="00732A85" w:rsidRDefault="00732A85" w:rsidP="0029423C">
            <w:pPr>
              <w:jc w:val="right"/>
            </w:pPr>
            <w:r>
              <w:t>$0.8</w:t>
            </w:r>
            <w:r w:rsidR="00F93210">
              <w:t>8</w:t>
            </w:r>
          </w:p>
        </w:tc>
        <w:tc>
          <w:tcPr>
            <w:tcW w:w="704" w:type="dxa"/>
            <w:gridSpan w:val="2"/>
          </w:tcPr>
          <w:p w14:paraId="66CBE2C8" w14:textId="77777777" w:rsidR="00732A85" w:rsidRDefault="00732A85" w:rsidP="0029423C"/>
        </w:tc>
        <w:tc>
          <w:tcPr>
            <w:tcW w:w="2976" w:type="dxa"/>
          </w:tcPr>
          <w:p w14:paraId="36C80838" w14:textId="77777777" w:rsidR="00732A85" w:rsidRDefault="00732A85" w:rsidP="0029423C">
            <w:r>
              <w:t>Women</w:t>
            </w:r>
          </w:p>
        </w:tc>
      </w:tr>
      <w:tr w:rsidR="00732A85" w14:paraId="073DDDF7" w14:textId="77777777" w:rsidTr="00F93B0A">
        <w:tc>
          <w:tcPr>
            <w:tcW w:w="5529" w:type="dxa"/>
            <w:shd w:val="clear" w:color="auto" w:fill="60CAF3" w:themeFill="accent4" w:themeFillTint="99"/>
          </w:tcPr>
          <w:p w14:paraId="41ED0B22" w14:textId="6C52BBA5" w:rsidR="00732A85" w:rsidRDefault="00732A85" w:rsidP="0029423C">
            <w:pPr>
              <w:jc w:val="right"/>
            </w:pPr>
            <w:r>
              <w:t>$0.8</w:t>
            </w:r>
            <w:r w:rsidR="00F93210">
              <w:t>7</w:t>
            </w:r>
          </w:p>
        </w:tc>
        <w:tc>
          <w:tcPr>
            <w:tcW w:w="845" w:type="dxa"/>
            <w:gridSpan w:val="3"/>
          </w:tcPr>
          <w:p w14:paraId="3DD0FD1B" w14:textId="77777777" w:rsidR="00732A85" w:rsidRDefault="00732A85" w:rsidP="0029423C"/>
        </w:tc>
        <w:tc>
          <w:tcPr>
            <w:tcW w:w="2976" w:type="dxa"/>
          </w:tcPr>
          <w:p w14:paraId="158AC1EA" w14:textId="77777777" w:rsidR="00732A85" w:rsidRDefault="00732A85" w:rsidP="0029423C">
            <w:r>
              <w:t>Prefer not to say/Unknown</w:t>
            </w:r>
          </w:p>
        </w:tc>
      </w:tr>
    </w:tbl>
    <w:p w14:paraId="131EDDA7" w14:textId="77777777" w:rsidR="00732A85" w:rsidRDefault="00732A85" w:rsidP="00FF6E74"/>
    <w:p w14:paraId="46E07155" w14:textId="2026C60E" w:rsidR="00F93210" w:rsidRDefault="00F93210" w:rsidP="00765AD7">
      <w:pPr>
        <w:jc w:val="both"/>
      </w:pPr>
      <w:r>
        <w:t xml:space="preserve">At Emco, women’s median hourly wages are 12% less than </w:t>
      </w:r>
      <w:r w:rsidR="009321CB">
        <w:t>men’s</w:t>
      </w:r>
      <w:r w:rsidRPr="00F93210">
        <w:t>, and individuals who prefer not to say/unknown’s me</w:t>
      </w:r>
      <w:r>
        <w:t>dian</w:t>
      </w:r>
      <w:r w:rsidRPr="00F93210">
        <w:t xml:space="preserve"> hourly wages are 1</w:t>
      </w:r>
      <w:r>
        <w:t>3</w:t>
      </w:r>
      <w:r w:rsidRPr="00F93210">
        <w:t xml:space="preserve">% less </w:t>
      </w:r>
      <w:r w:rsidR="00D40AC5">
        <w:t xml:space="preserve">than </w:t>
      </w:r>
      <w:r w:rsidRPr="00F93210">
        <w:t>men</w:t>
      </w:r>
      <w:r w:rsidR="00D40AC5">
        <w:t>’s</w:t>
      </w:r>
      <w:r w:rsidRPr="00F93210">
        <w:t>.</w:t>
      </w:r>
    </w:p>
    <w:p w14:paraId="669B5CE3" w14:textId="786A6D61" w:rsidR="00F93210" w:rsidRDefault="00F93210" w:rsidP="00FF6E74">
      <w:pPr>
        <w:rPr>
          <w:u w:val="single"/>
        </w:rPr>
      </w:pPr>
      <w:r>
        <w:rPr>
          <w:i/>
          <w:iCs/>
          <w:u w:val="single"/>
        </w:rPr>
        <w:t>Overtime Pay Gap and Overtime Hours</w:t>
      </w:r>
    </w:p>
    <w:p w14:paraId="0A062F15" w14:textId="5416AF0C" w:rsidR="00F93210" w:rsidRDefault="00F93210" w:rsidP="00765AD7">
      <w:pPr>
        <w:jc w:val="both"/>
      </w:pPr>
      <w:r>
        <w:t xml:space="preserve">In accordance with the Act, “Mean Overtime Pay Gap” means overtime pay </w:t>
      </w:r>
      <w:r w:rsidR="0044485C">
        <w:t xml:space="preserve">gap </w:t>
      </w:r>
      <w:r>
        <w:t>when averaged for each group, and “Median Overtime Pay</w:t>
      </w:r>
      <w:r w:rsidR="00AB49BC">
        <w:t xml:space="preserve"> Gap</w:t>
      </w:r>
      <w:r>
        <w:t>” means the middle point of overtime for each group.</w:t>
      </w:r>
    </w:p>
    <w:p w14:paraId="793E34A9" w14:textId="318C3C42" w:rsidR="00F93210" w:rsidRDefault="00F93210" w:rsidP="00FF6E74">
      <w:r>
        <w:t>The mean</w:t>
      </w:r>
      <w:r w:rsidR="00AB49BC">
        <w:t xml:space="preserve"> overtime pay gap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42"/>
        <w:gridCol w:w="567"/>
        <w:gridCol w:w="2976"/>
      </w:tblGrid>
      <w:tr w:rsidR="00AB49BC" w14:paraId="4994E4B6" w14:textId="77777777" w:rsidTr="00F93B0A">
        <w:tc>
          <w:tcPr>
            <w:tcW w:w="5807" w:type="dxa"/>
            <w:gridSpan w:val="2"/>
            <w:shd w:val="clear" w:color="auto" w:fill="156082" w:themeFill="accent1"/>
          </w:tcPr>
          <w:p w14:paraId="5A38B376" w14:textId="77777777" w:rsidR="00AB49BC" w:rsidRDefault="00AB49BC" w:rsidP="0029423C">
            <w:pPr>
              <w:jc w:val="right"/>
            </w:pPr>
            <w:bookmarkStart w:id="2" w:name="_Hlk212638379"/>
            <w:r>
              <w:t>$1.00</w:t>
            </w:r>
          </w:p>
        </w:tc>
        <w:tc>
          <w:tcPr>
            <w:tcW w:w="567" w:type="dxa"/>
          </w:tcPr>
          <w:p w14:paraId="4C4996C0" w14:textId="77777777" w:rsidR="00AB49BC" w:rsidRDefault="00AB49BC" w:rsidP="0029423C"/>
        </w:tc>
        <w:tc>
          <w:tcPr>
            <w:tcW w:w="2976" w:type="dxa"/>
          </w:tcPr>
          <w:p w14:paraId="3E291845" w14:textId="77777777" w:rsidR="00AB49BC" w:rsidRDefault="00AB49BC" w:rsidP="0029423C">
            <w:r>
              <w:t>Men</w:t>
            </w:r>
          </w:p>
        </w:tc>
      </w:tr>
      <w:tr w:rsidR="00AB49BC" w14:paraId="7A6F8F4F" w14:textId="77777777" w:rsidTr="00F93B0A">
        <w:tc>
          <w:tcPr>
            <w:tcW w:w="5670" w:type="dxa"/>
            <w:shd w:val="clear" w:color="auto" w:fill="4C94D8" w:themeFill="text2" w:themeFillTint="80"/>
          </w:tcPr>
          <w:p w14:paraId="7016E531" w14:textId="5E71ADE3" w:rsidR="00AB49BC" w:rsidRDefault="00AB49BC" w:rsidP="0029423C">
            <w:pPr>
              <w:jc w:val="right"/>
            </w:pPr>
            <w:r>
              <w:t>$0.97</w:t>
            </w:r>
          </w:p>
        </w:tc>
        <w:tc>
          <w:tcPr>
            <w:tcW w:w="704" w:type="dxa"/>
            <w:gridSpan w:val="2"/>
          </w:tcPr>
          <w:p w14:paraId="39638927" w14:textId="77777777" w:rsidR="00AB49BC" w:rsidRDefault="00AB49BC" w:rsidP="0029423C"/>
        </w:tc>
        <w:tc>
          <w:tcPr>
            <w:tcW w:w="2976" w:type="dxa"/>
          </w:tcPr>
          <w:p w14:paraId="3A917CDA" w14:textId="77777777" w:rsidR="00AB49BC" w:rsidRDefault="00AB49BC" w:rsidP="0029423C">
            <w:r>
              <w:t>Women</w:t>
            </w:r>
          </w:p>
        </w:tc>
      </w:tr>
      <w:tr w:rsidR="00AB49BC" w14:paraId="4C376673" w14:textId="77777777" w:rsidTr="00F93B0A">
        <w:tc>
          <w:tcPr>
            <w:tcW w:w="5812" w:type="dxa"/>
            <w:gridSpan w:val="2"/>
            <w:shd w:val="clear" w:color="auto" w:fill="60CAF3" w:themeFill="accent4" w:themeFillTint="99"/>
          </w:tcPr>
          <w:p w14:paraId="24D9BAEB" w14:textId="670A884A" w:rsidR="00AB49BC" w:rsidRDefault="00AB49BC" w:rsidP="0029423C">
            <w:pPr>
              <w:jc w:val="right"/>
            </w:pPr>
            <w:r>
              <w:t>$0.98</w:t>
            </w:r>
          </w:p>
        </w:tc>
        <w:tc>
          <w:tcPr>
            <w:tcW w:w="562" w:type="dxa"/>
          </w:tcPr>
          <w:p w14:paraId="4FE48E87" w14:textId="77777777" w:rsidR="00AB49BC" w:rsidRDefault="00AB49BC" w:rsidP="0029423C"/>
        </w:tc>
        <w:tc>
          <w:tcPr>
            <w:tcW w:w="2976" w:type="dxa"/>
          </w:tcPr>
          <w:p w14:paraId="0E3CC3FD" w14:textId="77777777" w:rsidR="00AB49BC" w:rsidRDefault="00AB49BC" w:rsidP="0029423C">
            <w:r>
              <w:t>Prefer not to say/Unknown</w:t>
            </w:r>
          </w:p>
        </w:tc>
      </w:tr>
      <w:bookmarkEnd w:id="2"/>
    </w:tbl>
    <w:p w14:paraId="04151D6C" w14:textId="77777777" w:rsidR="00AB49BC" w:rsidRDefault="00AB49BC" w:rsidP="00FF6E74"/>
    <w:p w14:paraId="27E46B07" w14:textId="47FDA1EC" w:rsidR="00AB49BC" w:rsidRDefault="00AB49BC" w:rsidP="00765AD7">
      <w:pPr>
        <w:jc w:val="both"/>
      </w:pPr>
      <w:r>
        <w:t xml:space="preserve">At Emco, women’s mean overtime pay is 3% less than </w:t>
      </w:r>
      <w:r w:rsidR="00D40AC5">
        <w:t>men’s</w:t>
      </w:r>
      <w:r>
        <w:t xml:space="preserve">, and individuals who prefer not to say/unknown’s mean overtime pay is 2% less </w:t>
      </w:r>
      <w:r w:rsidR="00D40AC5">
        <w:t>than men’s</w:t>
      </w:r>
      <w:r>
        <w:t>.</w:t>
      </w:r>
    </w:p>
    <w:p w14:paraId="4A9D80B2" w14:textId="62B853CD" w:rsidR="00AB49BC" w:rsidRDefault="00AB49BC" w:rsidP="00FF6E74">
      <w:r>
        <w:t>The median overtime pay gap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142"/>
        <w:gridCol w:w="142"/>
        <w:gridCol w:w="425"/>
        <w:gridCol w:w="2976"/>
      </w:tblGrid>
      <w:tr w:rsidR="00AB49BC" w14:paraId="441363AD" w14:textId="77777777" w:rsidTr="00F93B0A">
        <w:tc>
          <w:tcPr>
            <w:tcW w:w="5812" w:type="dxa"/>
            <w:gridSpan w:val="2"/>
            <w:shd w:val="clear" w:color="auto" w:fill="156082" w:themeFill="accent1"/>
          </w:tcPr>
          <w:p w14:paraId="2012D5EF" w14:textId="77777777" w:rsidR="00AB49BC" w:rsidRDefault="00AB49BC" w:rsidP="0029423C">
            <w:pPr>
              <w:jc w:val="right"/>
            </w:pPr>
            <w:bookmarkStart w:id="3" w:name="_Hlk212639924"/>
            <w:r>
              <w:t>$1.00</w:t>
            </w:r>
          </w:p>
        </w:tc>
        <w:tc>
          <w:tcPr>
            <w:tcW w:w="567" w:type="dxa"/>
            <w:gridSpan w:val="2"/>
          </w:tcPr>
          <w:p w14:paraId="0DA5EA8C" w14:textId="77777777" w:rsidR="00AB49BC" w:rsidRDefault="00AB49BC" w:rsidP="0029423C"/>
        </w:tc>
        <w:tc>
          <w:tcPr>
            <w:tcW w:w="2976" w:type="dxa"/>
          </w:tcPr>
          <w:p w14:paraId="3123C398" w14:textId="77777777" w:rsidR="00AB49BC" w:rsidRDefault="00AB49BC" w:rsidP="0029423C">
            <w:r>
              <w:t>Men</w:t>
            </w:r>
          </w:p>
        </w:tc>
      </w:tr>
      <w:tr w:rsidR="00AB49BC" w14:paraId="70028793" w14:textId="77777777" w:rsidTr="00F93B0A">
        <w:tc>
          <w:tcPr>
            <w:tcW w:w="5670" w:type="dxa"/>
            <w:shd w:val="clear" w:color="auto" w:fill="4C94D8" w:themeFill="text2" w:themeFillTint="80"/>
          </w:tcPr>
          <w:p w14:paraId="36E3CC4C" w14:textId="2C30E30F" w:rsidR="00AB49BC" w:rsidRDefault="00AB49BC" w:rsidP="0029423C">
            <w:pPr>
              <w:jc w:val="right"/>
            </w:pPr>
            <w:r>
              <w:t>$0.95</w:t>
            </w:r>
          </w:p>
        </w:tc>
        <w:tc>
          <w:tcPr>
            <w:tcW w:w="709" w:type="dxa"/>
            <w:gridSpan w:val="3"/>
          </w:tcPr>
          <w:p w14:paraId="5C216164" w14:textId="77777777" w:rsidR="00AB49BC" w:rsidRDefault="00AB49BC" w:rsidP="0029423C"/>
        </w:tc>
        <w:tc>
          <w:tcPr>
            <w:tcW w:w="2976" w:type="dxa"/>
          </w:tcPr>
          <w:p w14:paraId="07A214BF" w14:textId="77777777" w:rsidR="00AB49BC" w:rsidRDefault="00AB49BC" w:rsidP="0029423C">
            <w:r>
              <w:t>Women</w:t>
            </w:r>
          </w:p>
        </w:tc>
      </w:tr>
      <w:tr w:rsidR="00AB49BC" w14:paraId="33A598A2" w14:textId="77777777" w:rsidTr="00F93B0A">
        <w:tc>
          <w:tcPr>
            <w:tcW w:w="5954" w:type="dxa"/>
            <w:gridSpan w:val="3"/>
            <w:shd w:val="clear" w:color="auto" w:fill="60CAF3" w:themeFill="accent4" w:themeFillTint="99"/>
          </w:tcPr>
          <w:p w14:paraId="2C180857" w14:textId="6527A7FA" w:rsidR="00AB49BC" w:rsidRDefault="00AB49BC" w:rsidP="0029423C">
            <w:pPr>
              <w:jc w:val="right"/>
            </w:pPr>
            <w:r>
              <w:t>$1.02</w:t>
            </w:r>
          </w:p>
        </w:tc>
        <w:tc>
          <w:tcPr>
            <w:tcW w:w="425" w:type="dxa"/>
          </w:tcPr>
          <w:p w14:paraId="3104C7D9" w14:textId="77777777" w:rsidR="00AB49BC" w:rsidRDefault="00AB49BC" w:rsidP="0029423C"/>
        </w:tc>
        <w:tc>
          <w:tcPr>
            <w:tcW w:w="2976" w:type="dxa"/>
          </w:tcPr>
          <w:p w14:paraId="1F73AC4C" w14:textId="77777777" w:rsidR="00AB49BC" w:rsidRDefault="00AB49BC" w:rsidP="0029423C">
            <w:r>
              <w:t>Prefer not to say/Unknown</w:t>
            </w:r>
          </w:p>
        </w:tc>
      </w:tr>
      <w:bookmarkEnd w:id="3"/>
    </w:tbl>
    <w:p w14:paraId="785C4F6D" w14:textId="77777777" w:rsidR="00AB49BC" w:rsidRDefault="00AB49BC" w:rsidP="00FF6E74"/>
    <w:p w14:paraId="4B59BEE8" w14:textId="05DF4B45" w:rsidR="00AB49BC" w:rsidRDefault="00AB49BC" w:rsidP="00765AD7">
      <w:pPr>
        <w:jc w:val="both"/>
      </w:pPr>
      <w:bookmarkStart w:id="4" w:name="_Hlk212642661"/>
      <w:r>
        <w:t xml:space="preserve">At Emco, women’s median overtime pay is 5% less than </w:t>
      </w:r>
      <w:r w:rsidR="00D40AC5">
        <w:t>men’s</w:t>
      </w:r>
      <w:r>
        <w:t>, and individuals who prefer not to say/unknown’s me</w:t>
      </w:r>
      <w:r w:rsidR="0044485C">
        <w:t>dian</w:t>
      </w:r>
      <w:r>
        <w:t xml:space="preserve"> overtime pay is 2% more than </w:t>
      </w:r>
      <w:r w:rsidR="00D40AC5">
        <w:t>men’s.</w:t>
      </w:r>
    </w:p>
    <w:bookmarkEnd w:id="4"/>
    <w:p w14:paraId="6770C6E5" w14:textId="2564D541" w:rsidR="00AB49BC" w:rsidRDefault="00AB49BC" w:rsidP="00765AD7">
      <w:pPr>
        <w:jc w:val="both"/>
      </w:pPr>
      <w:r>
        <w:t xml:space="preserve">In terms of mean overtime hours worked, for every 1 hour of overtime </w:t>
      </w:r>
      <w:r w:rsidR="007C7DDF">
        <w:t xml:space="preserve">worked by men, the mean number of </w:t>
      </w:r>
      <w:r w:rsidR="00765AD7">
        <w:t xml:space="preserve">overtime </w:t>
      </w:r>
      <w:r w:rsidR="007C7DDF">
        <w:t xml:space="preserve">hours worked by women </w:t>
      </w:r>
      <w:r w:rsidR="00765AD7">
        <w:t xml:space="preserve">was </w:t>
      </w:r>
      <w:r w:rsidR="007C7DDF">
        <w:t xml:space="preserve">.71 hours, and the mean number of </w:t>
      </w:r>
      <w:r w:rsidR="00765AD7">
        <w:t xml:space="preserve">overtime </w:t>
      </w:r>
      <w:r w:rsidR="007C7DDF">
        <w:t xml:space="preserve">hours worked </w:t>
      </w:r>
      <w:r w:rsidR="00D40AC5">
        <w:t>by</w:t>
      </w:r>
      <w:r w:rsidR="007C7DDF">
        <w:t xml:space="preserve"> individuals who preferred not to say/unknown was 2.14</w:t>
      </w:r>
      <w:r w:rsidR="00765AD7">
        <w:t xml:space="preserve"> hours</w:t>
      </w:r>
      <w:r w:rsidR="007C7DDF">
        <w:t>.</w:t>
      </w:r>
    </w:p>
    <w:p w14:paraId="3D6CF329" w14:textId="2FF3F895" w:rsidR="007C7DDF" w:rsidRDefault="007C7DDF" w:rsidP="00765AD7">
      <w:pPr>
        <w:jc w:val="both"/>
      </w:pPr>
      <w:r>
        <w:t xml:space="preserve">In terms of median overtime hours worked, for every 1 hour of overtime worked </w:t>
      </w:r>
      <w:r w:rsidR="00D40AC5">
        <w:t xml:space="preserve">by </w:t>
      </w:r>
      <w:r>
        <w:t xml:space="preserve">men, the median number of </w:t>
      </w:r>
      <w:r w:rsidR="00765AD7">
        <w:t xml:space="preserve">overtime </w:t>
      </w:r>
      <w:r>
        <w:t xml:space="preserve">hours worked by women </w:t>
      </w:r>
      <w:r w:rsidR="00765AD7">
        <w:t>was .81</w:t>
      </w:r>
      <w:r>
        <w:t xml:space="preserve"> hours, and the me</w:t>
      </w:r>
      <w:r w:rsidR="00765AD7">
        <w:t>dian</w:t>
      </w:r>
      <w:r>
        <w:t xml:space="preserve"> number of </w:t>
      </w:r>
      <w:r w:rsidR="00765AD7">
        <w:t xml:space="preserve">overtime </w:t>
      </w:r>
      <w:r>
        <w:t xml:space="preserve">hours worked </w:t>
      </w:r>
      <w:r w:rsidR="00765AD7">
        <w:t>by</w:t>
      </w:r>
      <w:r>
        <w:t xml:space="preserve"> individuals who preferred not to say/unknown was </w:t>
      </w:r>
      <w:r w:rsidR="00765AD7">
        <w:t>.96 hours</w:t>
      </w:r>
      <w:r>
        <w:t>.</w:t>
      </w:r>
    </w:p>
    <w:p w14:paraId="5BAAAAF2" w14:textId="3D944212" w:rsidR="007C7DDF" w:rsidRPr="00336432" w:rsidRDefault="00765AD7" w:rsidP="00AB49BC">
      <w:bookmarkStart w:id="5" w:name="_Hlk212642278"/>
      <w:r w:rsidRPr="00336432">
        <w:t>The percentage of teammates receiving overtime pay in each category is as follows:</w:t>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3117"/>
      </w:tblGrid>
      <w:tr w:rsidR="00336432" w14:paraId="394D556D" w14:textId="77777777" w:rsidTr="00336432">
        <w:tc>
          <w:tcPr>
            <w:tcW w:w="3829" w:type="dxa"/>
          </w:tcPr>
          <w:p w14:paraId="1A119D23" w14:textId="36E9B2CD" w:rsidR="00336432" w:rsidRDefault="00336432" w:rsidP="00AB49BC">
            <w:r>
              <w:t>Men</w:t>
            </w:r>
          </w:p>
        </w:tc>
        <w:tc>
          <w:tcPr>
            <w:tcW w:w="3117" w:type="dxa"/>
          </w:tcPr>
          <w:p w14:paraId="30C60F7F" w14:textId="70C49E74" w:rsidR="00336432" w:rsidRDefault="00336432" w:rsidP="00AB49BC">
            <w:r>
              <w:t>24%</w:t>
            </w:r>
          </w:p>
        </w:tc>
      </w:tr>
      <w:tr w:rsidR="00336432" w14:paraId="34EB15B3" w14:textId="77777777" w:rsidTr="00336432">
        <w:tc>
          <w:tcPr>
            <w:tcW w:w="3829" w:type="dxa"/>
          </w:tcPr>
          <w:p w14:paraId="66D30BB7" w14:textId="72FD7F16" w:rsidR="00336432" w:rsidRDefault="00336432" w:rsidP="00AB49BC">
            <w:r>
              <w:t>Women</w:t>
            </w:r>
          </w:p>
        </w:tc>
        <w:tc>
          <w:tcPr>
            <w:tcW w:w="3117" w:type="dxa"/>
          </w:tcPr>
          <w:p w14:paraId="49755282" w14:textId="07103505" w:rsidR="00336432" w:rsidRDefault="00336432" w:rsidP="00AB49BC">
            <w:r>
              <w:t>25.81%</w:t>
            </w:r>
          </w:p>
        </w:tc>
      </w:tr>
      <w:tr w:rsidR="00336432" w14:paraId="59C9F596" w14:textId="77777777" w:rsidTr="00336432">
        <w:tc>
          <w:tcPr>
            <w:tcW w:w="3829" w:type="dxa"/>
          </w:tcPr>
          <w:p w14:paraId="39AC5104" w14:textId="6AA60EF3" w:rsidR="00336432" w:rsidRDefault="00336432" w:rsidP="00AB49BC">
            <w:r>
              <w:t>Prefer not to say/Unknown</w:t>
            </w:r>
          </w:p>
        </w:tc>
        <w:tc>
          <w:tcPr>
            <w:tcW w:w="3117" w:type="dxa"/>
          </w:tcPr>
          <w:p w14:paraId="22ACC9E4" w14:textId="4A6B694F" w:rsidR="00336432" w:rsidRDefault="00336432" w:rsidP="00AB49BC">
            <w:r>
              <w:t>33.59%</w:t>
            </w:r>
          </w:p>
        </w:tc>
      </w:tr>
      <w:bookmarkEnd w:id="5"/>
    </w:tbl>
    <w:p w14:paraId="205E1B6F" w14:textId="77777777" w:rsidR="00BC7965" w:rsidRDefault="00BC7965" w:rsidP="00AB49BC">
      <w:pPr>
        <w:rPr>
          <w:i/>
          <w:iCs/>
          <w:u w:val="single"/>
        </w:rPr>
      </w:pPr>
    </w:p>
    <w:p w14:paraId="092DC967" w14:textId="044E9EE4" w:rsidR="00765AD7" w:rsidRPr="00BC7965" w:rsidRDefault="00BC7965" w:rsidP="00AB49BC">
      <w:pPr>
        <w:rPr>
          <w:i/>
          <w:iCs/>
          <w:u w:val="single"/>
        </w:rPr>
      </w:pPr>
      <w:r w:rsidRPr="00BC7965">
        <w:rPr>
          <w:i/>
          <w:iCs/>
          <w:u w:val="single"/>
        </w:rPr>
        <w:t>Bonus Pay</w:t>
      </w:r>
      <w:r>
        <w:rPr>
          <w:i/>
          <w:iCs/>
          <w:u w:val="single"/>
        </w:rPr>
        <w:t xml:space="preserve"> Gap</w:t>
      </w:r>
    </w:p>
    <w:p w14:paraId="28EC30FC" w14:textId="7BB7937D" w:rsidR="00322B14" w:rsidRDefault="00322B14" w:rsidP="00312648">
      <w:pPr>
        <w:jc w:val="both"/>
      </w:pPr>
      <w:r>
        <w:t xml:space="preserve">Emco has a bonus (profit sharing) program designed to align with various performance metrics. </w:t>
      </w:r>
      <w:r w:rsidRPr="00336432">
        <w:t xml:space="preserve">The percentage of teammates receiving </w:t>
      </w:r>
      <w:r>
        <w:t xml:space="preserve">bonus </w:t>
      </w:r>
      <w:r w:rsidRPr="00336432">
        <w:t>pay in each category is as follows:</w:t>
      </w:r>
    </w:p>
    <w:p w14:paraId="133BA78D" w14:textId="77777777" w:rsidR="00322B14" w:rsidRPr="00336432" w:rsidRDefault="00322B14" w:rsidP="00322B14"/>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9"/>
        <w:gridCol w:w="3117"/>
      </w:tblGrid>
      <w:tr w:rsidR="00322B14" w14:paraId="3D29AEC6" w14:textId="77777777" w:rsidTr="0029423C">
        <w:tc>
          <w:tcPr>
            <w:tcW w:w="3829" w:type="dxa"/>
          </w:tcPr>
          <w:p w14:paraId="0820066C" w14:textId="77777777" w:rsidR="00322B14" w:rsidRDefault="00322B14" w:rsidP="0029423C">
            <w:r>
              <w:t>Men</w:t>
            </w:r>
          </w:p>
        </w:tc>
        <w:tc>
          <w:tcPr>
            <w:tcW w:w="3117" w:type="dxa"/>
          </w:tcPr>
          <w:p w14:paraId="4FA30CAA" w14:textId="407EEAAF" w:rsidR="00322B14" w:rsidRDefault="00322B14" w:rsidP="0029423C">
            <w:r>
              <w:t>82%</w:t>
            </w:r>
          </w:p>
        </w:tc>
      </w:tr>
      <w:tr w:rsidR="00322B14" w14:paraId="5C00BF5C" w14:textId="77777777" w:rsidTr="0029423C">
        <w:tc>
          <w:tcPr>
            <w:tcW w:w="3829" w:type="dxa"/>
          </w:tcPr>
          <w:p w14:paraId="0322B3AE" w14:textId="77777777" w:rsidR="00322B14" w:rsidRDefault="00322B14" w:rsidP="0029423C">
            <w:r>
              <w:t>Women</w:t>
            </w:r>
          </w:p>
        </w:tc>
        <w:tc>
          <w:tcPr>
            <w:tcW w:w="3117" w:type="dxa"/>
          </w:tcPr>
          <w:p w14:paraId="6553D434" w14:textId="26F14E80" w:rsidR="00322B14" w:rsidRDefault="00322B14" w:rsidP="0029423C">
            <w:r>
              <w:t>70.97%</w:t>
            </w:r>
          </w:p>
        </w:tc>
      </w:tr>
      <w:tr w:rsidR="00322B14" w14:paraId="1E9B38ED" w14:textId="77777777" w:rsidTr="0029423C">
        <w:tc>
          <w:tcPr>
            <w:tcW w:w="3829" w:type="dxa"/>
          </w:tcPr>
          <w:p w14:paraId="23BA0F8E" w14:textId="77777777" w:rsidR="00322B14" w:rsidRDefault="00322B14" w:rsidP="0029423C">
            <w:r>
              <w:t>Prefer not to say/Unknown</w:t>
            </w:r>
          </w:p>
        </w:tc>
        <w:tc>
          <w:tcPr>
            <w:tcW w:w="3117" w:type="dxa"/>
          </w:tcPr>
          <w:p w14:paraId="33F379FA" w14:textId="05B5674C" w:rsidR="00322B14" w:rsidRDefault="00322B14" w:rsidP="0029423C">
            <w:r>
              <w:t>69.35%</w:t>
            </w:r>
          </w:p>
        </w:tc>
      </w:tr>
    </w:tbl>
    <w:p w14:paraId="2ABF575B" w14:textId="77777777" w:rsidR="00322B14" w:rsidRDefault="00322B14" w:rsidP="00FF6E74"/>
    <w:p w14:paraId="13D0C672" w14:textId="2DD68EAB" w:rsidR="00AB49BC" w:rsidRPr="00BC7965" w:rsidRDefault="00322B14" w:rsidP="00312648">
      <w:pPr>
        <w:jc w:val="both"/>
      </w:pPr>
      <w:r>
        <w:t>In accordance with the Act, “Mean Bonus Pay Gap” means the bonus pay when averaged for each group, and “Median Bonus Pay Gap” means the middle point of bonus pay for each group.</w:t>
      </w:r>
    </w:p>
    <w:p w14:paraId="3441AF0F" w14:textId="2CD35AC7" w:rsidR="00AB49BC" w:rsidRDefault="00322B14" w:rsidP="00FF6E74">
      <w:r>
        <w:lastRenderedPageBreak/>
        <w:t>The mean bonus pay gap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42"/>
        <w:gridCol w:w="2688"/>
        <w:gridCol w:w="567"/>
        <w:gridCol w:w="2976"/>
      </w:tblGrid>
      <w:tr w:rsidR="00322B14" w14:paraId="51FC088B" w14:textId="77777777" w:rsidTr="00F93B0A">
        <w:tc>
          <w:tcPr>
            <w:tcW w:w="5807" w:type="dxa"/>
            <w:gridSpan w:val="3"/>
            <w:shd w:val="clear" w:color="auto" w:fill="156082" w:themeFill="accent1"/>
          </w:tcPr>
          <w:p w14:paraId="40934D47" w14:textId="77777777" w:rsidR="00322B14" w:rsidRDefault="00322B14" w:rsidP="0029423C">
            <w:pPr>
              <w:jc w:val="right"/>
            </w:pPr>
            <w:r>
              <w:t>$1.00</w:t>
            </w:r>
          </w:p>
        </w:tc>
        <w:tc>
          <w:tcPr>
            <w:tcW w:w="567" w:type="dxa"/>
          </w:tcPr>
          <w:p w14:paraId="6E088145" w14:textId="77777777" w:rsidR="00322B14" w:rsidRDefault="00322B14" w:rsidP="0029423C"/>
        </w:tc>
        <w:tc>
          <w:tcPr>
            <w:tcW w:w="2976" w:type="dxa"/>
          </w:tcPr>
          <w:p w14:paraId="57542428" w14:textId="77777777" w:rsidR="00322B14" w:rsidRDefault="00322B14" w:rsidP="0029423C">
            <w:r>
              <w:t>Men</w:t>
            </w:r>
          </w:p>
        </w:tc>
      </w:tr>
      <w:tr w:rsidR="00322B14" w14:paraId="4AB6D400" w14:textId="77777777" w:rsidTr="00F93B0A">
        <w:tc>
          <w:tcPr>
            <w:tcW w:w="3119" w:type="dxa"/>
            <w:gridSpan w:val="2"/>
            <w:shd w:val="clear" w:color="auto" w:fill="4C94D8" w:themeFill="text2" w:themeFillTint="80"/>
          </w:tcPr>
          <w:p w14:paraId="4CE0998E" w14:textId="69C31D97" w:rsidR="00322B14" w:rsidRDefault="00322B14" w:rsidP="0029423C">
            <w:pPr>
              <w:jc w:val="right"/>
            </w:pPr>
            <w:r>
              <w:t>$0.48</w:t>
            </w:r>
          </w:p>
        </w:tc>
        <w:tc>
          <w:tcPr>
            <w:tcW w:w="3255" w:type="dxa"/>
            <w:gridSpan w:val="2"/>
          </w:tcPr>
          <w:p w14:paraId="5F6FCD5A" w14:textId="77777777" w:rsidR="00322B14" w:rsidRDefault="00322B14" w:rsidP="0029423C"/>
        </w:tc>
        <w:tc>
          <w:tcPr>
            <w:tcW w:w="2976" w:type="dxa"/>
          </w:tcPr>
          <w:p w14:paraId="5F25DDB2" w14:textId="77777777" w:rsidR="00322B14" w:rsidRDefault="00322B14" w:rsidP="0029423C">
            <w:r>
              <w:t>Women</w:t>
            </w:r>
          </w:p>
        </w:tc>
      </w:tr>
      <w:tr w:rsidR="00322B14" w14:paraId="03631828" w14:textId="77777777" w:rsidTr="00F93B0A">
        <w:tc>
          <w:tcPr>
            <w:tcW w:w="2977" w:type="dxa"/>
            <w:shd w:val="clear" w:color="auto" w:fill="60CAF3" w:themeFill="accent4" w:themeFillTint="99"/>
          </w:tcPr>
          <w:p w14:paraId="62EFD1C6" w14:textId="0813DED4" w:rsidR="00322B14" w:rsidRDefault="00322B14" w:rsidP="0029423C">
            <w:pPr>
              <w:jc w:val="right"/>
            </w:pPr>
            <w:r>
              <w:t>$0.41</w:t>
            </w:r>
          </w:p>
        </w:tc>
        <w:tc>
          <w:tcPr>
            <w:tcW w:w="3397" w:type="dxa"/>
            <w:gridSpan w:val="3"/>
          </w:tcPr>
          <w:p w14:paraId="254F879A" w14:textId="77777777" w:rsidR="00322B14" w:rsidRDefault="00322B14" w:rsidP="0029423C"/>
        </w:tc>
        <w:tc>
          <w:tcPr>
            <w:tcW w:w="2976" w:type="dxa"/>
          </w:tcPr>
          <w:p w14:paraId="7711DD48" w14:textId="77777777" w:rsidR="00322B14" w:rsidRDefault="00322B14" w:rsidP="0029423C">
            <w:r>
              <w:t>Prefer not to say/Unknown</w:t>
            </w:r>
          </w:p>
        </w:tc>
      </w:tr>
    </w:tbl>
    <w:p w14:paraId="68D27403" w14:textId="77777777" w:rsidR="00F93210" w:rsidRDefault="00F93210" w:rsidP="00FF6E74"/>
    <w:p w14:paraId="42159688" w14:textId="325B85FF" w:rsidR="00322B14" w:rsidRDefault="00322B14" w:rsidP="00312648">
      <w:pPr>
        <w:jc w:val="both"/>
      </w:pPr>
      <w:r w:rsidRPr="00322B14">
        <w:t xml:space="preserve">At Emco, women’s </w:t>
      </w:r>
      <w:r>
        <w:t>mean bonus</w:t>
      </w:r>
      <w:r w:rsidRPr="00322B14">
        <w:t xml:space="preserve"> pay is 5</w:t>
      </w:r>
      <w:r>
        <w:t>2</w:t>
      </w:r>
      <w:r w:rsidRPr="00322B14">
        <w:t xml:space="preserve">% less than </w:t>
      </w:r>
      <w:r w:rsidR="00D40AC5">
        <w:t>men’s</w:t>
      </w:r>
      <w:r w:rsidRPr="00322B14">
        <w:t xml:space="preserve">, and individuals who prefer not to say/unknown’s mean </w:t>
      </w:r>
      <w:r>
        <w:t>bonus</w:t>
      </w:r>
      <w:r w:rsidRPr="00322B14">
        <w:t xml:space="preserve"> pay is </w:t>
      </w:r>
      <w:r>
        <w:t>59% less</w:t>
      </w:r>
      <w:r w:rsidRPr="00322B14">
        <w:t xml:space="preserve"> than men.</w:t>
      </w:r>
    </w:p>
    <w:p w14:paraId="14C295A4" w14:textId="38B96295" w:rsidR="00322B14" w:rsidRDefault="00322B14" w:rsidP="00FF6E74">
      <w:r>
        <w:t>The median bonus pay gap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67"/>
        <w:gridCol w:w="2263"/>
        <w:gridCol w:w="567"/>
        <w:gridCol w:w="2976"/>
      </w:tblGrid>
      <w:tr w:rsidR="00322B14" w14:paraId="1FBE1D51" w14:textId="77777777" w:rsidTr="00F93B0A">
        <w:tc>
          <w:tcPr>
            <w:tcW w:w="5807" w:type="dxa"/>
            <w:gridSpan w:val="3"/>
            <w:shd w:val="clear" w:color="auto" w:fill="156082" w:themeFill="accent1"/>
          </w:tcPr>
          <w:p w14:paraId="378548AA" w14:textId="77777777" w:rsidR="00322B14" w:rsidRDefault="00322B14" w:rsidP="0029423C">
            <w:pPr>
              <w:jc w:val="right"/>
            </w:pPr>
            <w:r>
              <w:t>$1.00</w:t>
            </w:r>
          </w:p>
        </w:tc>
        <w:tc>
          <w:tcPr>
            <w:tcW w:w="567" w:type="dxa"/>
          </w:tcPr>
          <w:p w14:paraId="0F4175E8" w14:textId="77777777" w:rsidR="00322B14" w:rsidRDefault="00322B14" w:rsidP="0029423C"/>
        </w:tc>
        <w:tc>
          <w:tcPr>
            <w:tcW w:w="2976" w:type="dxa"/>
          </w:tcPr>
          <w:p w14:paraId="5D54F815" w14:textId="77777777" w:rsidR="00322B14" w:rsidRDefault="00322B14" w:rsidP="0029423C">
            <w:r>
              <w:t>Men</w:t>
            </w:r>
          </w:p>
        </w:tc>
      </w:tr>
      <w:tr w:rsidR="00322B14" w14:paraId="75F85E72" w14:textId="77777777" w:rsidTr="00F93B0A">
        <w:tc>
          <w:tcPr>
            <w:tcW w:w="3544" w:type="dxa"/>
            <w:gridSpan w:val="2"/>
            <w:shd w:val="clear" w:color="auto" w:fill="4C94D8" w:themeFill="text2" w:themeFillTint="80"/>
          </w:tcPr>
          <w:p w14:paraId="5B775E2D" w14:textId="44B5C385" w:rsidR="00322B14" w:rsidRDefault="00322B14" w:rsidP="0029423C">
            <w:pPr>
              <w:jc w:val="right"/>
            </w:pPr>
            <w:r>
              <w:t>$0.56</w:t>
            </w:r>
          </w:p>
        </w:tc>
        <w:tc>
          <w:tcPr>
            <w:tcW w:w="2830" w:type="dxa"/>
            <w:gridSpan w:val="2"/>
          </w:tcPr>
          <w:p w14:paraId="0D64D591" w14:textId="77777777" w:rsidR="00322B14" w:rsidRDefault="00322B14" w:rsidP="0029423C"/>
        </w:tc>
        <w:tc>
          <w:tcPr>
            <w:tcW w:w="2976" w:type="dxa"/>
          </w:tcPr>
          <w:p w14:paraId="7061E0C2" w14:textId="77777777" w:rsidR="00322B14" w:rsidRDefault="00322B14" w:rsidP="0029423C">
            <w:r>
              <w:t>Women</w:t>
            </w:r>
          </w:p>
        </w:tc>
      </w:tr>
      <w:tr w:rsidR="00322B14" w14:paraId="56FD8537" w14:textId="77777777" w:rsidTr="00F93B0A">
        <w:tc>
          <w:tcPr>
            <w:tcW w:w="2977" w:type="dxa"/>
            <w:shd w:val="clear" w:color="auto" w:fill="60CAF3" w:themeFill="accent4" w:themeFillTint="99"/>
          </w:tcPr>
          <w:p w14:paraId="544C31E0" w14:textId="61D3224B" w:rsidR="00322B14" w:rsidRDefault="00322B14" w:rsidP="0029423C">
            <w:pPr>
              <w:jc w:val="right"/>
            </w:pPr>
            <w:r>
              <w:t>$0.43</w:t>
            </w:r>
          </w:p>
        </w:tc>
        <w:tc>
          <w:tcPr>
            <w:tcW w:w="3397" w:type="dxa"/>
            <w:gridSpan w:val="3"/>
          </w:tcPr>
          <w:p w14:paraId="0A223EF6" w14:textId="77777777" w:rsidR="00322B14" w:rsidRDefault="00322B14" w:rsidP="0029423C"/>
        </w:tc>
        <w:tc>
          <w:tcPr>
            <w:tcW w:w="2976" w:type="dxa"/>
          </w:tcPr>
          <w:p w14:paraId="5ED61C03" w14:textId="77777777" w:rsidR="00322B14" w:rsidRDefault="00322B14" w:rsidP="0029423C">
            <w:r>
              <w:t>Prefer not to say/Unknown</w:t>
            </w:r>
          </w:p>
        </w:tc>
      </w:tr>
    </w:tbl>
    <w:p w14:paraId="361BF4EB" w14:textId="77777777" w:rsidR="00322B14" w:rsidRDefault="00322B14" w:rsidP="00FF6E74"/>
    <w:p w14:paraId="5C5F7ADD" w14:textId="768577D4" w:rsidR="00322B14" w:rsidRDefault="00322B14" w:rsidP="004044CC">
      <w:pPr>
        <w:jc w:val="both"/>
      </w:pPr>
      <w:r>
        <w:t>At Emco</w:t>
      </w:r>
      <w:r w:rsidR="00D40AC5">
        <w:t>,</w:t>
      </w:r>
      <w:r w:rsidRPr="00322B14">
        <w:t xml:space="preserve"> women’s </w:t>
      </w:r>
      <w:r>
        <w:t>median</w:t>
      </w:r>
      <w:r w:rsidRPr="00322B14">
        <w:t xml:space="preserve"> bonus pay is </w:t>
      </w:r>
      <w:r>
        <w:t>44</w:t>
      </w:r>
      <w:r w:rsidRPr="00322B14">
        <w:t>% less than men</w:t>
      </w:r>
      <w:r w:rsidR="00D40AC5">
        <w:t>’s</w:t>
      </w:r>
      <w:r w:rsidRPr="00322B14">
        <w:t xml:space="preserve">, and individuals who prefer not to say/unknown’s </w:t>
      </w:r>
      <w:r w:rsidR="00312648">
        <w:t>median</w:t>
      </w:r>
      <w:r w:rsidRPr="00322B14">
        <w:t xml:space="preserve"> bonus pay is 5</w:t>
      </w:r>
      <w:r w:rsidR="00312648">
        <w:t>7</w:t>
      </w:r>
      <w:r w:rsidRPr="00322B14">
        <w:t>% less than men</w:t>
      </w:r>
      <w:r w:rsidR="00D40AC5">
        <w:t>’s</w:t>
      </w:r>
      <w:r w:rsidRPr="00322B14">
        <w:t>.</w:t>
      </w:r>
    </w:p>
    <w:p w14:paraId="17E3F300" w14:textId="03EE3CCB" w:rsidR="00312648" w:rsidRPr="002F4EBD" w:rsidRDefault="002F4EBD" w:rsidP="004044CC">
      <w:pPr>
        <w:jc w:val="both"/>
        <w:rPr>
          <w:i/>
          <w:iCs/>
          <w:u w:val="single"/>
        </w:rPr>
      </w:pPr>
      <w:r>
        <w:rPr>
          <w:i/>
          <w:iCs/>
          <w:u w:val="single"/>
        </w:rPr>
        <w:t>Percentage of Each Gender in Each Pay Quartile</w:t>
      </w:r>
    </w:p>
    <w:p w14:paraId="6788217F" w14:textId="4AF874D1" w:rsidR="00F93B0A" w:rsidRPr="00713327" w:rsidRDefault="00713327" w:rsidP="004044CC">
      <w:pPr>
        <w:jc w:val="both"/>
      </w:pPr>
      <w:r w:rsidRPr="00713327">
        <w:t xml:space="preserve">Quartile </w:t>
      </w:r>
      <w:r>
        <w:t>1, which is made up of the lowest hourly pay, is 2.52% men, 3.36% women, and 94.12% prefer not to say/unknown.  In Quartile 2, which is comprised of lower middle hourly pay, 2.7% are men, 3.15% are women, and 94.14% prefer not to say/unknown. Quartile 3, comprised of upper middle hourly pay is 6.35% men, 2.65% women and 91.01% prefer not to say/unknown.  Finally, Quartile 4 representing the upper hourly pay, is12.09% men, 5.12% women, and 82.79% prefer not to say/unknown.</w:t>
      </w:r>
    </w:p>
    <w:p w14:paraId="532A9831" w14:textId="016929FC" w:rsidR="00713327" w:rsidRPr="004044CC" w:rsidRDefault="004044CC" w:rsidP="004044CC">
      <w:pPr>
        <w:jc w:val="both"/>
        <w:rPr>
          <w:b/>
          <w:bCs/>
        </w:rPr>
      </w:pPr>
      <w:r>
        <w:rPr>
          <w:b/>
          <w:bCs/>
        </w:rPr>
        <w:t>In Conclusion</w:t>
      </w:r>
    </w:p>
    <w:p w14:paraId="4DBC6789" w14:textId="50057B47" w:rsidR="002F4EBD" w:rsidRPr="00F93210" w:rsidRDefault="004044CC" w:rsidP="004044CC">
      <w:pPr>
        <w:jc w:val="both"/>
      </w:pPr>
      <w:r>
        <w:t>Emco recognizes that w</w:t>
      </w:r>
      <w:r w:rsidR="002F4EBD" w:rsidRPr="002F4EBD">
        <w:t xml:space="preserve">omen are typically underrepresented in leadership and </w:t>
      </w:r>
      <w:r>
        <w:t>higher-paying</w:t>
      </w:r>
      <w:r w:rsidR="002F4EBD" w:rsidRPr="002F4EBD">
        <w:t xml:space="preserve"> roles</w:t>
      </w:r>
      <w:r w:rsidR="000A7A6E">
        <w:t xml:space="preserve"> but is committed</w:t>
      </w:r>
      <w:r>
        <w:t xml:space="preserve"> to promoting inclusion, equity and diversity</w:t>
      </w:r>
      <w:r w:rsidR="000A7A6E">
        <w:t xml:space="preserve"> with a goal of 50% women in leadership roles</w:t>
      </w:r>
      <w:r>
        <w:t xml:space="preserve">.   While Emco has made reasonable efforts to gather gender identity information from our teammates, the results in this report are impacted by the voluntary nature of participation which is reflected in the large percentage of “prefer not to say/unknown” individuals. </w:t>
      </w:r>
    </w:p>
    <w:sectPr w:rsidR="002F4EBD" w:rsidRPr="00F93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AE"/>
    <w:rsid w:val="00021E8D"/>
    <w:rsid w:val="000A7A6E"/>
    <w:rsid w:val="000B4D90"/>
    <w:rsid w:val="002F4EBD"/>
    <w:rsid w:val="00312648"/>
    <w:rsid w:val="00322B14"/>
    <w:rsid w:val="00336432"/>
    <w:rsid w:val="004044CC"/>
    <w:rsid w:val="00425F22"/>
    <w:rsid w:val="0044485C"/>
    <w:rsid w:val="00632D81"/>
    <w:rsid w:val="006D0FA1"/>
    <w:rsid w:val="006E0A94"/>
    <w:rsid w:val="00713327"/>
    <w:rsid w:val="00732A85"/>
    <w:rsid w:val="00765AD7"/>
    <w:rsid w:val="007C7DDF"/>
    <w:rsid w:val="009321CB"/>
    <w:rsid w:val="00937A65"/>
    <w:rsid w:val="00AB49BC"/>
    <w:rsid w:val="00B06D40"/>
    <w:rsid w:val="00B4001F"/>
    <w:rsid w:val="00B558A7"/>
    <w:rsid w:val="00B95EAE"/>
    <w:rsid w:val="00BC7965"/>
    <w:rsid w:val="00BD7721"/>
    <w:rsid w:val="00D40AC5"/>
    <w:rsid w:val="00E5496F"/>
    <w:rsid w:val="00F91B64"/>
    <w:rsid w:val="00F93210"/>
    <w:rsid w:val="00F93B0A"/>
    <w:rsid w:val="00FF282E"/>
    <w:rsid w:val="00FF6E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66B9"/>
  <w15:chartTrackingRefBased/>
  <w15:docId w15:val="{B23483D2-4E9F-45C6-8487-52A50407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AD7"/>
  </w:style>
  <w:style w:type="paragraph" w:styleId="Heading1">
    <w:name w:val="heading 1"/>
    <w:basedOn w:val="Normal"/>
    <w:next w:val="Normal"/>
    <w:link w:val="Heading1Char"/>
    <w:uiPriority w:val="9"/>
    <w:qFormat/>
    <w:rsid w:val="00B95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E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E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E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E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E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E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E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E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EAE"/>
    <w:rPr>
      <w:rFonts w:eastAsiaTheme="majorEastAsia" w:cstheme="majorBidi"/>
      <w:color w:val="272727" w:themeColor="text1" w:themeTint="D8"/>
    </w:rPr>
  </w:style>
  <w:style w:type="paragraph" w:styleId="Title">
    <w:name w:val="Title"/>
    <w:basedOn w:val="Normal"/>
    <w:next w:val="Normal"/>
    <w:link w:val="TitleChar"/>
    <w:uiPriority w:val="10"/>
    <w:qFormat/>
    <w:rsid w:val="00B95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EAE"/>
    <w:pPr>
      <w:spacing w:before="160"/>
      <w:jc w:val="center"/>
    </w:pPr>
    <w:rPr>
      <w:i/>
      <w:iCs/>
      <w:color w:val="404040" w:themeColor="text1" w:themeTint="BF"/>
    </w:rPr>
  </w:style>
  <w:style w:type="character" w:customStyle="1" w:styleId="QuoteChar">
    <w:name w:val="Quote Char"/>
    <w:basedOn w:val="DefaultParagraphFont"/>
    <w:link w:val="Quote"/>
    <w:uiPriority w:val="29"/>
    <w:rsid w:val="00B95EAE"/>
    <w:rPr>
      <w:i/>
      <w:iCs/>
      <w:color w:val="404040" w:themeColor="text1" w:themeTint="BF"/>
    </w:rPr>
  </w:style>
  <w:style w:type="paragraph" w:styleId="ListParagraph">
    <w:name w:val="List Paragraph"/>
    <w:basedOn w:val="Normal"/>
    <w:uiPriority w:val="34"/>
    <w:qFormat/>
    <w:rsid w:val="00B95EAE"/>
    <w:pPr>
      <w:ind w:left="720"/>
      <w:contextualSpacing/>
    </w:pPr>
  </w:style>
  <w:style w:type="character" w:styleId="IntenseEmphasis">
    <w:name w:val="Intense Emphasis"/>
    <w:basedOn w:val="DefaultParagraphFont"/>
    <w:uiPriority w:val="21"/>
    <w:qFormat/>
    <w:rsid w:val="00B95EAE"/>
    <w:rPr>
      <w:i/>
      <w:iCs/>
      <w:color w:val="0F4761" w:themeColor="accent1" w:themeShade="BF"/>
    </w:rPr>
  </w:style>
  <w:style w:type="paragraph" w:styleId="IntenseQuote">
    <w:name w:val="Intense Quote"/>
    <w:basedOn w:val="Normal"/>
    <w:next w:val="Normal"/>
    <w:link w:val="IntenseQuoteChar"/>
    <w:uiPriority w:val="30"/>
    <w:qFormat/>
    <w:rsid w:val="00B95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EAE"/>
    <w:rPr>
      <w:i/>
      <w:iCs/>
      <w:color w:val="0F4761" w:themeColor="accent1" w:themeShade="BF"/>
    </w:rPr>
  </w:style>
  <w:style w:type="character" w:styleId="IntenseReference">
    <w:name w:val="Intense Reference"/>
    <w:basedOn w:val="DefaultParagraphFont"/>
    <w:uiPriority w:val="32"/>
    <w:qFormat/>
    <w:rsid w:val="00B95EAE"/>
    <w:rPr>
      <w:b/>
      <w:bCs/>
      <w:smallCaps/>
      <w:color w:val="0F4761" w:themeColor="accent1" w:themeShade="BF"/>
      <w:spacing w:val="5"/>
    </w:rPr>
  </w:style>
  <w:style w:type="table" w:styleId="TableGrid">
    <w:name w:val="Table Grid"/>
    <w:basedOn w:val="TableNormal"/>
    <w:uiPriority w:val="39"/>
    <w:rsid w:val="00B95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457</TotalTime>
  <Pages>6</Pages>
  <Words>1041</Words>
  <Characters>6105</Characters>
  <Application>Microsoft Office Word</Application>
  <DocSecurity>0</DocSecurity>
  <Lines>203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Taimi Williamson</dc:creator>
  <cp:keywords/>
  <dc:description/>
  <cp:lastModifiedBy>Taimi Williamson</cp:lastModifiedBy>
  <cp:revision>6</cp:revision>
  <dcterms:created xsi:type="dcterms:W3CDTF">2025-10-29T15:12:00Z</dcterms:created>
  <dcterms:modified xsi:type="dcterms:W3CDTF">2025-10-31T14:39:00Z</dcterms:modified>
</cp:coreProperties>
</file>